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6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eastAsia="zh-CN"/>
        </w:rPr>
        <w:t>医责险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项目内容</w:t>
      </w:r>
    </w:p>
    <w:p w14:paraId="08EE4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color w:val="auto"/>
          <w:sz w:val="44"/>
          <w:szCs w:val="44"/>
        </w:rPr>
      </w:pPr>
    </w:p>
    <w:tbl>
      <w:tblPr>
        <w:tblStyle w:val="6"/>
        <w:tblW w:w="7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6271"/>
      </w:tblGrid>
      <w:tr w14:paraId="603D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8" w:type="dxa"/>
            <w:vAlign w:val="center"/>
          </w:tcPr>
          <w:p w14:paraId="76785979">
            <w:pPr>
              <w:pStyle w:val="7"/>
              <w:spacing w:before="173" w:line="221" w:lineRule="auto"/>
              <w:ind w:left="138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6271" w:type="dxa"/>
            <w:vAlign w:val="center"/>
          </w:tcPr>
          <w:p w14:paraId="435D928C">
            <w:pPr>
              <w:pStyle w:val="7"/>
              <w:spacing w:before="175" w:line="221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8"/>
                <w:szCs w:val="28"/>
              </w:rPr>
              <w:t>描述</w:t>
            </w:r>
          </w:p>
        </w:tc>
      </w:tr>
      <w:tr w14:paraId="25B2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28" w:type="dxa"/>
            <w:vAlign w:val="center"/>
          </w:tcPr>
          <w:p w14:paraId="7FE6BF9F">
            <w:pPr>
              <w:pStyle w:val="7"/>
              <w:spacing w:before="81" w:line="226" w:lineRule="auto"/>
              <w:ind w:right="76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sz w:val="28"/>
                <w:szCs w:val="28"/>
              </w:rPr>
              <w:t>医疗责任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1"/>
                <w:w w:val="97"/>
                <w:sz w:val="28"/>
                <w:szCs w:val="28"/>
              </w:rPr>
              <w:t>险</w:t>
            </w:r>
          </w:p>
        </w:tc>
        <w:tc>
          <w:tcPr>
            <w:tcW w:w="6271" w:type="dxa"/>
            <w:vAlign w:val="center"/>
          </w:tcPr>
          <w:p w14:paraId="712684AB">
            <w:pPr>
              <w:pStyle w:val="7"/>
              <w:spacing w:before="8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eastAsia="zh-CN"/>
              </w:rPr>
              <w:t>累计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  <w:p w14:paraId="1B52DEF9">
            <w:pPr>
              <w:pStyle w:val="7"/>
              <w:spacing w:before="13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每次事故赔偿限额：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  <w:p w14:paraId="21A2317C">
            <w:pPr>
              <w:pStyle w:val="7"/>
              <w:spacing w:before="3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每人赔偿限额：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</w:tc>
      </w:tr>
      <w:tr w14:paraId="556F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628" w:type="dxa"/>
            <w:vAlign w:val="center"/>
          </w:tcPr>
          <w:p w14:paraId="50A6DBF7">
            <w:pPr>
              <w:pStyle w:val="7"/>
              <w:spacing w:before="78" w:line="242" w:lineRule="auto"/>
              <w:ind w:left="134" w:right="107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8"/>
                <w:szCs w:val="28"/>
                <w:lang w:eastAsia="zh-CN"/>
              </w:rPr>
              <w:t>医务人员人身伤害责任险</w:t>
            </w:r>
          </w:p>
        </w:tc>
        <w:tc>
          <w:tcPr>
            <w:tcW w:w="6271" w:type="dxa"/>
            <w:vAlign w:val="center"/>
          </w:tcPr>
          <w:p w14:paraId="1E1311EA">
            <w:pPr>
              <w:pStyle w:val="7"/>
              <w:spacing w:before="8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eastAsia="zh-CN"/>
              </w:rPr>
              <w:t>累计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  <w:p w14:paraId="2B8C443D">
            <w:pPr>
              <w:pStyle w:val="7"/>
              <w:spacing w:before="13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每次事故赔偿限额：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  <w:p w14:paraId="2D29F66D">
            <w:pPr>
              <w:pStyle w:val="7"/>
              <w:spacing w:before="3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每人赔偿限额：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28"/>
                <w:szCs w:val="28"/>
              </w:rPr>
              <w:t>万元</w:t>
            </w:r>
          </w:p>
        </w:tc>
      </w:tr>
      <w:tr w14:paraId="5829C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28" w:type="dxa"/>
            <w:vAlign w:val="center"/>
          </w:tcPr>
          <w:p w14:paraId="6E072D4D">
            <w:pPr>
              <w:pStyle w:val="7"/>
              <w:spacing w:before="78" w:line="221" w:lineRule="auto"/>
              <w:ind w:left="134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8"/>
                <w:szCs w:val="28"/>
              </w:rPr>
              <w:t>备注</w:t>
            </w:r>
          </w:p>
        </w:tc>
        <w:tc>
          <w:tcPr>
            <w:tcW w:w="6271" w:type="dxa"/>
            <w:vAlign w:val="center"/>
          </w:tcPr>
          <w:p w14:paraId="49AE85D9">
            <w:pPr>
              <w:pStyle w:val="7"/>
              <w:spacing w:before="3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8"/>
                <w:szCs w:val="28"/>
              </w:rPr>
              <w:t>法律费用每人限额：5万元(不设免赔额)</w:t>
            </w:r>
          </w:p>
          <w:p w14:paraId="3041AD9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3"/>
                <w:sz w:val="28"/>
                <w:szCs w:val="28"/>
              </w:rPr>
              <w:t>免赔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3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3"/>
                <w:sz w:val="28"/>
                <w:szCs w:val="28"/>
              </w:rPr>
              <w:t>1000元或者赔偿金额的5%,两者以高者为准。</w:t>
            </w:r>
          </w:p>
        </w:tc>
      </w:tr>
    </w:tbl>
    <w:p w14:paraId="11E3A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其他要求：</w:t>
      </w:r>
    </w:p>
    <w:p w14:paraId="2BF58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保险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责任</w:t>
      </w:r>
    </w:p>
    <w:p w14:paraId="4B6F10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院前急救工作除了急救车厢内发生的急救医疗责任事故或纠纷以外，还涵盖调派环节、现场急救医疗事故或纠纷、担架转运意外、陪同家属发生意外（交通事故除外）、院前院内交接过床意外等，因此院前急救医责险应承保院前急救工作（除急救车辆交通事故造成损失外）整个流程涉及到所有事故和纠纷造成的损失。</w:t>
      </w:r>
    </w:p>
    <w:p w14:paraId="240C8A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、保险范围</w:t>
      </w:r>
    </w:p>
    <w:p w14:paraId="481B3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扬州市急救中心以及院前急救网络医院急救站（点）工作人员。</w:t>
      </w:r>
    </w:p>
    <w:p w14:paraId="23172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院前急救网络医院：江苏省苏北人民医院、扬州大学附属医院（东区、西区）、扬州市中医院、扬州市妇幼保健医院（扬州市妇女儿童医院）、扬州市第二人民医院、扬州市第三人民医院、扬州市广陵区中医院、扬州友好医院、扬州东方医院（含瓜州、方巷急救点）、扬州市广陵区汤汪街道社区卫生服务中心、扬州市生态科技新城杭集社区卫生服务中心、李典急救点（李典社区卫生服务中心、武警江苏总队医院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 w14:paraId="34053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、保险人员</w:t>
      </w:r>
    </w:p>
    <w:p w14:paraId="6B7AA8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调度员、医生、护士、驾驶员、担架员</w:t>
      </w:r>
    </w:p>
    <w:sectPr>
      <w:footerReference r:id="rId5" w:type="default"/>
      <w:pgSz w:w="10800" w:h="1518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D1E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317638"/>
    <w:rsid w:val="317D1865"/>
    <w:rsid w:val="3F3A40DE"/>
    <w:rsid w:val="475050E0"/>
    <w:rsid w:val="527B24DD"/>
    <w:rsid w:val="6A4F2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523</Characters>
  <TotalTime>1</TotalTime>
  <ScaleCrop>false</ScaleCrop>
  <LinksUpToDate>false</LinksUpToDate>
  <CharactersWithSpaces>523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2024-11-28T17:14:00Z</dcterms:created>
  <dc:creator>Kingsoft-PDF</dc:creator>
  <cp:lastModifiedBy>朋</cp:lastModifiedBy>
  <dcterms:modified xsi:type="dcterms:W3CDTF">2025-11-06T08:22:56Z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2024-11-28T17:14:53Z</vt:filetime>
  </property>
  <property fmtid="{D5CDD505-2E9C-101B-9397-08002B2CF9AE}" pid="4" name="UsrData">
    <vt:lpwstr>6748348ac0dd93002043d26bwl</vt:lpwstr>
  </property>
  <property fmtid="{D5CDD505-2E9C-101B-9397-08002B2CF9AE}" pid="5" name="KSOProductBuildVer">
    <vt:lpwstr>2052-12.1.0.23125</vt:lpwstr>
  </property>
  <property fmtid="{D5CDD505-2E9C-101B-9397-08002B2CF9AE}" pid="6" name="ICV">
    <vt:lpwstr>BA0EADAEBCA244FF97A7405B74444ED4_13</vt:lpwstr>
  </property>
  <property fmtid="{D5CDD505-2E9C-101B-9397-08002B2CF9AE}" pid="7" name="KSOTemplateDocerSaveRecord">
    <vt:lpwstr>eyJoZGlkIjoiYjE4OTNlZmYyZDEzNDZkZGZkZjk1OTYzMTMxZmNjZmYiLCJ1c2VySWQiOiIzOTI0Nzg4MjUifQ==</vt:lpwstr>
  </property>
</Properties>
</file>